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05" w:rsidRP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b/>
          <w:noProof/>
          <w:sz w:val="32"/>
          <w:szCs w:val="32"/>
        </w:rPr>
      </w:pPr>
      <w:r w:rsidRPr="00204305">
        <w:rPr>
          <w:rFonts w:ascii="Century Gothic" w:hAnsi="Century Gothic"/>
          <w:b/>
          <w:noProof/>
          <w:sz w:val="32"/>
          <w:szCs w:val="32"/>
        </w:rPr>
        <w:t>SEKTÖ</w:t>
      </w:r>
      <w:bookmarkStart w:id="0" w:name="_GoBack"/>
      <w:bookmarkEnd w:id="0"/>
      <w:r w:rsidRPr="00204305">
        <w:rPr>
          <w:rFonts w:ascii="Century Gothic" w:hAnsi="Century Gothic"/>
          <w:b/>
          <w:noProof/>
          <w:sz w:val="32"/>
          <w:szCs w:val="32"/>
        </w:rPr>
        <w:t>REL ENERJİ TÜKETİM İSTATİSTİKLERİ – 2014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 xml:space="preserve">Türkiye İstatistiki Kurumu (TUIK)’ nun yayınladığı </w:t>
      </w:r>
      <w:r>
        <w:rPr>
          <w:rFonts w:ascii="Century Gothic" w:hAnsi="Century Gothic"/>
          <w:b/>
          <w:noProof/>
          <w:sz w:val="22"/>
          <w:szCs w:val="22"/>
        </w:rPr>
        <w:t>2014 Yılı Enerji Tüketimleri</w:t>
      </w:r>
      <w:r>
        <w:rPr>
          <w:rFonts w:ascii="Century Gothic" w:hAnsi="Century Gothic"/>
          <w:noProof/>
          <w:sz w:val="22"/>
          <w:szCs w:val="22"/>
        </w:rPr>
        <w:t xml:space="preserve"> ile ilgili bilgileri </w:t>
      </w:r>
      <w:hyperlink r:id="rId5" w:history="1">
        <w:r>
          <w:rPr>
            <w:rStyle w:val="Kpr"/>
            <w:rFonts w:ascii="Arial" w:hAnsi="Arial" w:cs="Arial"/>
            <w:sz w:val="20"/>
            <w:szCs w:val="20"/>
          </w:rPr>
          <w:t>http://www.tuik.gov.tr/PreHaberBultenleri.do?id=21587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noProof/>
          <w:sz w:val="22"/>
          <w:szCs w:val="22"/>
        </w:rPr>
        <w:t xml:space="preserve">adresinde, 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</w:rPr>
        <w:t>Sektörlerde enerji kullanımı</w:t>
      </w:r>
      <w:r>
        <w:rPr>
          <w:rFonts w:ascii="Century Gothic" w:hAnsi="Century Gothic"/>
          <w:noProof/>
          <w:sz w:val="22"/>
          <w:szCs w:val="22"/>
        </w:rPr>
        <w:t xml:space="preserve"> haberini </w:t>
      </w:r>
      <w:hyperlink r:id="rId6" w:history="1">
        <w:r>
          <w:rPr>
            <w:rStyle w:val="Kpr"/>
            <w:rFonts w:ascii="Century Gothic" w:hAnsi="Century Gothic"/>
            <w:noProof/>
            <w:sz w:val="22"/>
            <w:szCs w:val="22"/>
          </w:rPr>
          <w:t>http://www.tuik.gov.tr/basinOdasi/haberler/2016_30_20160314.pdf</w:t>
        </w:r>
      </w:hyperlink>
      <w:r>
        <w:rPr>
          <w:rFonts w:ascii="Century Gothic" w:hAnsi="Century Gothic"/>
          <w:noProof/>
          <w:sz w:val="22"/>
          <w:szCs w:val="22"/>
        </w:rPr>
        <w:t xml:space="preserve"> adresinde bulabilirsiniz.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b/>
          <w:noProof/>
          <w:sz w:val="22"/>
          <w:szCs w:val="22"/>
          <w:u w:val="single"/>
        </w:rPr>
      </w:pP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 xml:space="preserve">Sektörlere göre bakıldığında, </w:t>
      </w:r>
      <w:r>
        <w:rPr>
          <w:rFonts w:ascii="Century Gothic" w:hAnsi="Century Gothic"/>
          <w:b/>
          <w:noProof/>
          <w:sz w:val="22"/>
          <w:szCs w:val="22"/>
        </w:rPr>
        <w:t>imalat sanayi</w:t>
      </w:r>
      <w:r>
        <w:rPr>
          <w:rFonts w:ascii="Century Gothic" w:hAnsi="Century Gothic"/>
          <w:noProof/>
          <w:sz w:val="22"/>
          <w:szCs w:val="22"/>
        </w:rPr>
        <w:t xml:space="preserve">  </w:t>
      </w:r>
      <w:r>
        <w:rPr>
          <w:rFonts w:ascii="Century Gothic" w:hAnsi="Century Gothic"/>
          <w:b/>
          <w:noProof/>
          <w:sz w:val="22"/>
          <w:szCs w:val="22"/>
        </w:rPr>
        <w:t>38,7 MTEP</w:t>
      </w:r>
      <w:r>
        <w:rPr>
          <w:rFonts w:ascii="Century Gothic" w:hAnsi="Century Gothic"/>
          <w:noProof/>
          <w:sz w:val="22"/>
          <w:szCs w:val="22"/>
        </w:rPr>
        <w:t xml:space="preserve"> enerji tüketmiş ki bunun yaklaşık </w:t>
      </w:r>
      <w:r>
        <w:rPr>
          <w:rFonts w:ascii="Century Gothic" w:hAnsi="Century Gothic"/>
          <w:b/>
          <w:noProof/>
          <w:sz w:val="22"/>
          <w:szCs w:val="22"/>
        </w:rPr>
        <w:t xml:space="preserve">3 te 2 sini </w:t>
      </w:r>
      <w:r>
        <w:rPr>
          <w:rFonts w:ascii="Century Gothic" w:hAnsi="Century Gothic"/>
          <w:noProof/>
          <w:sz w:val="22"/>
          <w:szCs w:val="22"/>
        </w:rPr>
        <w:t>sadece</w:t>
      </w:r>
      <w:r>
        <w:rPr>
          <w:rFonts w:ascii="Century Gothic" w:hAnsi="Century Gothic"/>
          <w:b/>
          <w:noProof/>
          <w:sz w:val="22"/>
          <w:szCs w:val="22"/>
        </w:rPr>
        <w:t xml:space="preserve"> 2 sektör</w:t>
      </w:r>
      <w:r>
        <w:rPr>
          <w:rFonts w:ascii="Century Gothic" w:hAnsi="Century Gothic"/>
          <w:noProof/>
          <w:sz w:val="22"/>
          <w:szCs w:val="22"/>
        </w:rPr>
        <w:t xml:space="preserve"> ( </w:t>
      </w:r>
      <w:r>
        <w:rPr>
          <w:rFonts w:ascii="Century Gothic" w:hAnsi="Century Gothic"/>
          <w:b/>
          <w:noProof/>
          <w:sz w:val="22"/>
          <w:szCs w:val="22"/>
        </w:rPr>
        <w:t>%38'i</w:t>
      </w:r>
      <w:r>
        <w:rPr>
          <w:rFonts w:ascii="Century Gothic" w:hAnsi="Century Gothic"/>
          <w:noProof/>
          <w:sz w:val="22"/>
          <w:szCs w:val="22"/>
        </w:rPr>
        <w:t xml:space="preserve"> </w:t>
      </w:r>
      <w:r>
        <w:rPr>
          <w:rFonts w:ascii="Century Gothic" w:hAnsi="Century Gothic"/>
          <w:b/>
          <w:noProof/>
          <w:sz w:val="22"/>
          <w:szCs w:val="22"/>
        </w:rPr>
        <w:t>demir-çelik vb</w:t>
      </w:r>
      <w:r>
        <w:rPr>
          <w:rFonts w:ascii="Century Gothic" w:hAnsi="Century Gothic"/>
          <w:noProof/>
          <w:sz w:val="22"/>
          <w:szCs w:val="22"/>
        </w:rPr>
        <w:t xml:space="preserve">., </w:t>
      </w:r>
      <w:r>
        <w:rPr>
          <w:rFonts w:ascii="Century Gothic" w:hAnsi="Century Gothic"/>
          <w:b/>
          <w:noProof/>
          <w:sz w:val="22"/>
          <w:szCs w:val="22"/>
        </w:rPr>
        <w:t>%25'i çimento, cam vb</w:t>
      </w:r>
      <w:r>
        <w:rPr>
          <w:rFonts w:ascii="Century Gothic" w:hAnsi="Century Gothic"/>
          <w:noProof/>
          <w:sz w:val="22"/>
          <w:szCs w:val="22"/>
        </w:rPr>
        <w:t>.) tüketmiş.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b/>
          <w:noProof/>
          <w:sz w:val="22"/>
          <w:szCs w:val="22"/>
          <w:u w:val="single"/>
        </w:rPr>
      </w:pPr>
    </w:p>
    <w:p w:rsidR="00204305" w:rsidRP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b/>
          <w:noProof/>
          <w:sz w:val="22"/>
          <w:szCs w:val="22"/>
          <w:u w:val="single"/>
        </w:rPr>
      </w:pPr>
      <w:r w:rsidRPr="00204305">
        <w:rPr>
          <w:rFonts w:ascii="Century Gothic" w:hAnsi="Century Gothic"/>
          <w:b/>
          <w:noProof/>
          <w:sz w:val="22"/>
          <w:szCs w:val="22"/>
          <w:u w:val="single"/>
        </w:rPr>
        <w:t>Aldığım bazı önemli notlar: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b/>
          <w:noProof/>
          <w:sz w:val="22"/>
          <w:szCs w:val="22"/>
          <w:u w:val="single"/>
        </w:rPr>
      </w:pPr>
    </w:p>
    <w:p w:rsidR="00204305" w:rsidRDefault="00204305" w:rsidP="00204305">
      <w:pPr>
        <w:pStyle w:val="section1"/>
        <w:spacing w:before="0" w:beforeAutospacing="0" w:after="0" w:afterAutospacing="0"/>
        <w:rPr>
          <w:rStyle w:val="Gl"/>
          <w:rFonts w:ascii="Arial" w:hAnsi="Arial" w:cs="Arial"/>
          <w:color w:val="000000"/>
          <w:shd w:val="clear" w:color="auto" w:fill="FFFFFF"/>
        </w:rPr>
      </w:pPr>
      <w:r>
        <w:rPr>
          <w:rStyle w:val="Gl"/>
          <w:rFonts w:ascii="Arial" w:hAnsi="Arial" w:cs="Arial"/>
          <w:color w:val="000000"/>
          <w:shd w:val="clear" w:color="auto" w:fill="FFFFFF"/>
        </w:rPr>
        <w:t xml:space="preserve">Sanayi ve hizmet sektörlerinde 100,7 MTEP enerji tüketilmiş, </w:t>
      </w:r>
      <w:r>
        <w:rPr>
          <w:rFonts w:ascii="Century Gothic" w:hAnsi="Century Gothic"/>
          <w:noProof/>
          <w:sz w:val="22"/>
          <w:szCs w:val="22"/>
        </w:rPr>
        <w:t>(MTEP: Milyon Ton Eşdeğer Petrol, 1 TEP= 10 milyon kcal)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Sanayi</w:t>
      </w:r>
      <w:r>
        <w:rPr>
          <w:rFonts w:ascii="Century Gothic" w:hAnsi="Century Gothic"/>
          <w:noProof/>
          <w:sz w:val="22"/>
          <w:szCs w:val="22"/>
        </w:rPr>
        <w:tab/>
        <w:t xml:space="preserve"> Sektörü</w:t>
      </w:r>
      <w:r>
        <w:rPr>
          <w:rFonts w:ascii="Century Gothic" w:hAnsi="Century Gothic"/>
          <w:noProof/>
          <w:sz w:val="22"/>
          <w:szCs w:val="22"/>
        </w:rPr>
        <w:tab/>
        <w:t xml:space="preserve">: 86,8 MTEP 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Hizmetler Sektörü</w:t>
      </w:r>
      <w:r>
        <w:rPr>
          <w:rFonts w:ascii="Century Gothic" w:hAnsi="Century Gothic"/>
          <w:noProof/>
          <w:sz w:val="22"/>
          <w:szCs w:val="22"/>
        </w:rPr>
        <w:tab/>
        <w:t>: 14,6 MTEP</w:t>
      </w:r>
    </w:p>
    <w:p w:rsidR="00204305" w:rsidRDefault="00204305" w:rsidP="00204305">
      <w:pPr>
        <w:pStyle w:val="section1"/>
        <w:spacing w:before="0" w:beforeAutospacing="0" w:after="0" w:afterAutospacing="0"/>
        <w:rPr>
          <w:rStyle w:val="Gl"/>
          <w:rFonts w:ascii="Arial" w:hAnsi="Arial" w:cs="Arial"/>
          <w:color w:val="000000"/>
          <w:shd w:val="clear" w:color="auto" w:fill="FFFFFF"/>
        </w:rPr>
      </w:pPr>
      <w:r>
        <w:rPr>
          <w:rStyle w:val="Gl"/>
          <w:rFonts w:ascii="Arial" w:hAnsi="Arial" w:cs="Arial"/>
          <w:color w:val="000000"/>
          <w:shd w:val="clear" w:color="auto" w:fill="FFFFFF"/>
        </w:rPr>
        <w:t>Doğal gaz 32,5 MTEP ile en çok tüketilen yakıt.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204305" w:rsidRDefault="00204305" w:rsidP="00204305">
      <w:pPr>
        <w:pStyle w:val="section1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  <w:bCs/>
          <w:noProof/>
          <w:sz w:val="22"/>
          <w:szCs w:val="22"/>
        </w:rPr>
      </w:pPr>
      <w:r>
        <w:rPr>
          <w:rFonts w:ascii="Century Gothic" w:hAnsi="Century Gothic"/>
          <w:bCs/>
          <w:noProof/>
          <w:sz w:val="22"/>
          <w:szCs w:val="22"/>
        </w:rPr>
        <w:t xml:space="preserve">Sanayi ve hizmet sektörlerinde </w:t>
      </w:r>
      <w:r>
        <w:rPr>
          <w:rFonts w:ascii="Century Gothic" w:hAnsi="Century Gothic"/>
          <w:b/>
          <w:bCs/>
          <w:noProof/>
          <w:sz w:val="22"/>
          <w:szCs w:val="22"/>
        </w:rPr>
        <w:t>124,5 TWh elektrik</w:t>
      </w:r>
      <w:r>
        <w:rPr>
          <w:rFonts w:ascii="Century Gothic" w:hAnsi="Century Gothic"/>
          <w:bCs/>
          <w:noProof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noProof/>
          <w:sz w:val="22"/>
          <w:szCs w:val="22"/>
        </w:rPr>
        <w:t>üretimi için</w:t>
      </w:r>
      <w:r>
        <w:rPr>
          <w:rFonts w:ascii="Century Gothic" w:hAnsi="Century Gothic"/>
          <w:bCs/>
          <w:noProof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noProof/>
          <w:sz w:val="22"/>
          <w:szCs w:val="22"/>
        </w:rPr>
        <w:t xml:space="preserve">44,7 MTEP enerji </w:t>
      </w:r>
      <w:r>
        <w:rPr>
          <w:rFonts w:ascii="Century Gothic" w:hAnsi="Century Gothic"/>
          <w:bCs/>
          <w:noProof/>
          <w:sz w:val="22"/>
          <w:szCs w:val="22"/>
        </w:rPr>
        <w:t>tüketildi. (elektrik üretimi için tüketilen başlıca yakıtlar %47 ile doğalgaz, %30 ile linyit ve %18 ile taşkömürü oldu. )</w:t>
      </w:r>
    </w:p>
    <w:p w:rsidR="00204305" w:rsidRDefault="00204305" w:rsidP="00204305">
      <w:pPr>
        <w:pStyle w:val="section1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  <w:bCs/>
          <w:noProof/>
          <w:sz w:val="22"/>
          <w:szCs w:val="22"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w:t>Elektrik üretmek için 25,4 milyar Sm3 doğal gaz</w:t>
      </w:r>
      <w:r>
        <w:rPr>
          <w:rFonts w:ascii="Century Gothic" w:hAnsi="Century Gothic"/>
          <w:bCs/>
          <w:noProof/>
          <w:sz w:val="22"/>
          <w:szCs w:val="22"/>
        </w:rPr>
        <w:t xml:space="preserve">, 56,8 milyon ton linyit ve 13,4 milyon ton taş kömürü kullanıldı. </w:t>
      </w:r>
    </w:p>
    <w:p w:rsidR="00204305" w:rsidRDefault="00204305" w:rsidP="00204305">
      <w:pPr>
        <w:pStyle w:val="section1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/>
          <w:bCs/>
          <w:noProof/>
          <w:sz w:val="22"/>
          <w:szCs w:val="22"/>
        </w:rPr>
      </w:pPr>
      <w:r>
        <w:rPr>
          <w:rFonts w:ascii="Century Gothic" w:hAnsi="Century Gothic"/>
          <w:bCs/>
          <w:noProof/>
          <w:sz w:val="22"/>
          <w:szCs w:val="22"/>
        </w:rPr>
        <w:t>Sanayi ve hizmet sektörlerinde elektrik enerjisinin; %80’i mal ve hizmet üretiminde, %13’ü aydınlatma ve elektrikli büro gereçlerinde tüketildi.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Elektrik Üretim/Dağ.</w:t>
      </w:r>
      <w:r>
        <w:rPr>
          <w:rFonts w:ascii="Century Gothic" w:hAnsi="Century Gothic"/>
          <w:noProof/>
          <w:sz w:val="22"/>
          <w:szCs w:val="22"/>
        </w:rPr>
        <w:tab/>
        <w:t>: %42,4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</w:rPr>
        <w:t>İmalat Sanayi</w:t>
      </w:r>
      <w:r>
        <w:rPr>
          <w:rFonts w:ascii="Century Gothic" w:hAnsi="Century Gothic"/>
          <w:b/>
          <w:noProof/>
          <w:sz w:val="22"/>
          <w:szCs w:val="22"/>
        </w:rPr>
        <w:tab/>
        <w:t xml:space="preserve">: %38,4 </w:t>
      </w:r>
      <w:r>
        <w:rPr>
          <w:rFonts w:ascii="Century Gothic" w:hAnsi="Century Gothic"/>
          <w:noProof/>
          <w:sz w:val="22"/>
          <w:szCs w:val="22"/>
        </w:rPr>
        <w:t>( %38'i demir-çelik vb., %25'i çimento, cam vb.)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Ulaştırma &amp;Depol.</w:t>
      </w:r>
      <w:r>
        <w:rPr>
          <w:rFonts w:ascii="Century Gothic" w:hAnsi="Century Gothic"/>
          <w:noProof/>
          <w:sz w:val="22"/>
          <w:szCs w:val="22"/>
        </w:rPr>
        <w:tab/>
        <w:t xml:space="preserve">:  %9,5 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Doğal gaz tüketimi</w:t>
      </w:r>
      <w:r>
        <w:rPr>
          <w:rFonts w:ascii="Century Gothic" w:hAnsi="Century Gothic"/>
          <w:noProof/>
          <w:sz w:val="22"/>
          <w:szCs w:val="22"/>
        </w:rPr>
        <w:tab/>
        <w:t>: 32,5 MTEP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Linyit tüketimi</w:t>
      </w:r>
      <w:r>
        <w:rPr>
          <w:rFonts w:ascii="Century Gothic" w:hAnsi="Century Gothic"/>
          <w:noProof/>
          <w:sz w:val="22"/>
          <w:szCs w:val="22"/>
        </w:rPr>
        <w:tab/>
      </w:r>
      <w:r>
        <w:rPr>
          <w:rFonts w:ascii="Century Gothic" w:hAnsi="Century Gothic"/>
          <w:noProof/>
          <w:sz w:val="22"/>
          <w:szCs w:val="22"/>
        </w:rPr>
        <w:tab/>
        <w:t>: 16,4 MTEP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Taş Kömürü tüketimi</w:t>
      </w:r>
      <w:r>
        <w:rPr>
          <w:rFonts w:ascii="Century Gothic" w:hAnsi="Century Gothic"/>
          <w:noProof/>
          <w:sz w:val="22"/>
          <w:szCs w:val="22"/>
        </w:rPr>
        <w:tab/>
        <w:t>: 16,0 MTEP</w:t>
      </w:r>
    </w:p>
    <w:p w:rsidR="00FD7FD5" w:rsidRDefault="00204305"/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Ayhan Sarıdikmen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Enerji Verimliliği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Eğitim-Etüt-Proje Yöneticisi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ISO 50001 EnYS Baş Tetkikçisi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b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gsm</w:t>
      </w:r>
      <w:r>
        <w:rPr>
          <w:rFonts w:ascii="Century Gothic" w:hAnsi="Century Gothic"/>
          <w:noProof/>
          <w:sz w:val="22"/>
          <w:szCs w:val="22"/>
        </w:rPr>
        <w:tab/>
        <w:t>: +90 (532) 362 14 49</w:t>
      </w:r>
    </w:p>
    <w:p w:rsidR="00204305" w:rsidRDefault="00204305" w:rsidP="00204305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 xml:space="preserve">eposta: </w:t>
      </w:r>
      <w:hyperlink r:id="rId7" w:history="1">
        <w:r>
          <w:rPr>
            <w:rStyle w:val="Kpr"/>
            <w:rFonts w:ascii="Century Gothic" w:hAnsi="Century Gothic"/>
            <w:noProof/>
            <w:sz w:val="22"/>
            <w:szCs w:val="22"/>
          </w:rPr>
          <w:t>ayhan@asdproje.com</w:t>
        </w:r>
      </w:hyperlink>
      <w:r>
        <w:rPr>
          <w:rFonts w:ascii="Century Gothic" w:hAnsi="Century Gothic"/>
          <w:noProof/>
          <w:sz w:val="22"/>
          <w:szCs w:val="22"/>
        </w:rPr>
        <w:t xml:space="preserve"> </w:t>
      </w:r>
    </w:p>
    <w:sectPr w:rsidR="002043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42F8"/>
    <w:multiLevelType w:val="hybridMultilevel"/>
    <w:tmpl w:val="D9A422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05"/>
    <w:rsid w:val="00204305"/>
    <w:rsid w:val="00624C73"/>
    <w:rsid w:val="0080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7F55"/>
  <w15:chartTrackingRefBased/>
  <w15:docId w15:val="{1BB2F0C1-F3D4-4E73-B17A-E15E193B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204305"/>
    <w:rPr>
      <w:color w:val="0000FF"/>
      <w:u w:val="single"/>
    </w:rPr>
  </w:style>
  <w:style w:type="paragraph" w:customStyle="1" w:styleId="section1">
    <w:name w:val="section1"/>
    <w:basedOn w:val="Normal"/>
    <w:uiPriority w:val="99"/>
    <w:semiHidden/>
    <w:rsid w:val="0020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204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han@asdproj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ik.gov.tr/basinOdasi/haberler/2016_30_20160314.pdf" TargetMode="External"/><Relationship Id="rId5" Type="http://schemas.openxmlformats.org/officeDocument/2006/relationships/hyperlink" Target="http://www.tuik.gov.tr/PreHaberBultenleri.do?id=215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SARIDİKMEN</dc:creator>
  <cp:keywords/>
  <dc:description/>
  <cp:lastModifiedBy>AYHAN SARIDİKMEN</cp:lastModifiedBy>
  <cp:revision>1</cp:revision>
  <dcterms:created xsi:type="dcterms:W3CDTF">2017-10-16T13:02:00Z</dcterms:created>
  <dcterms:modified xsi:type="dcterms:W3CDTF">2017-10-16T13:06:00Z</dcterms:modified>
</cp:coreProperties>
</file>